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275" w:rsidRDefault="00905275" w:rsidP="00905275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  <w:r w:rsidRPr="00905275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>Доклад</w:t>
      </w:r>
    </w:p>
    <w:p w:rsidR="00905275" w:rsidRPr="00905275" w:rsidRDefault="00905275" w:rsidP="00905275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заместителя Министра транспорта РФ В.А. </w:t>
      </w:r>
      <w:proofErr w:type="spellStart"/>
      <w:r w:rsidRPr="00905275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Олерского</w:t>
      </w:r>
      <w:proofErr w:type="spellEnd"/>
      <w:r w:rsidRPr="00905275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«О ходе реализации положений Морской доктрины Российской Федерации на период до 2020 года в сфере обеспечения безопасности морских и речных перевозок» на заседании Морской коллегии при Правительстве Российской Федерации 24 апреля 2012 г.</w:t>
      </w:r>
    </w:p>
    <w:p w:rsidR="00905275" w:rsidRPr="00905275" w:rsidRDefault="00905275" w:rsidP="009052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5275" w:rsidRPr="00905275" w:rsidRDefault="00905275" w:rsidP="0090527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24 Апрель 2012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Уважаемый Игорь Евгеньевич!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Уважаемые Члены Морской Коллегии!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Морская доктрина Российской Федерации на период до 2020 года, утвержденная Президентом Российской Федерации 27 июля 2001 года, определяет государственную политику Российской Федерации в области морской деятельности - национальную морскую политику Российской Федерации. В соответствии с Морской доктриной важнейшим элементом национальной морской политики является обеспечение безопасности морской деятельности.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Морской доктрине установлено, что безопасность морской деятельности включает в себя безопасность мореплавания, поиск и спасание на море, защиту и сохранение морской среды. В своем докладе я остановлюсь на реализации каждого из названных компонентов.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Безопасность мореплавания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Первое направление: Неукоснительное соблюдение соответствующих норм международного права и российского законодательства.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Морское судоходство является одной из самых интернациональных и </w:t>
      </w:r>
      <w:proofErr w:type="spell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глобализированных</w:t>
      </w:r>
      <w:proofErr w:type="spell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отраслей мировой экономики. В связи с эти регулирование морского судоходства, и прежде всего вопросов безопасности мореплавания осуществляется на глобальном уровне исходя из принципа универсальности применения международных признанных норм. Организация объединенных наций и ее специализированные институты, такие как Международная морская организация, Международная организация труда и другие разработали и продолжают разрабатывать международные стандарты в области мореплавания, которые включают в себя и эффективные механизмы принуждения к выполнению этих стандартов. 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Российская Федерация является стороной более чем сорока основополагающих международных конвенций и кодексов в области обеспечения безопасности мореплавания, поиска и спасания на море, защиты и сохранения морской среды. Мы продолжаем работу по интеграции России в это международное правовое поле. За последние два года Российская Федерация присоединилась к четырем важным международным инструментам в рассматриваемой области. Это:</w:t>
      </w:r>
    </w:p>
    <w:p w:rsidR="00905275" w:rsidRPr="00905275" w:rsidRDefault="00905275" w:rsidP="0090527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Международная конвенция по обеспечению готовности на случай загрязнения нефтью, борьбе с ним и сотрудничеству 1990 года;</w:t>
      </w:r>
    </w:p>
    <w:p w:rsidR="00905275" w:rsidRPr="00905275" w:rsidRDefault="00905275" w:rsidP="0090527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Международная конвенция о гражданской ответственности за загрязнение моря бункерным топливом;</w:t>
      </w:r>
    </w:p>
    <w:p w:rsidR="00905275" w:rsidRPr="00905275" w:rsidRDefault="00905275" w:rsidP="0090527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VI к международной конвенции о предотвращении загрязнения окружающей среды с судов – МАРПОЛ, устанавливающее правила предотвращения загрязнения воздушной среды с судов;</w:t>
      </w:r>
    </w:p>
    <w:p w:rsidR="00905275" w:rsidRPr="00905275" w:rsidRDefault="00905275" w:rsidP="0090527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Международная конвенция о контроле судовых балластных вод и осадков и управлении ими 2004 года. 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 важнейших национальных документов, принятых за последнее время и регламентирующих безопасность морской деятельности следует отметить Федеральный закон от 14 июня 2011 года № 141-ФЗ вносящий поправки в Кодекс торгового мореплавания. </w:t>
      </w:r>
      <w:proofErr w:type="gram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Поправки привели КТМ в соответствие международным нормам в части страхования гражданской ответственности за загрязнение окружающей среды нефтью перевозимой в качестве груза и в качестве бункерного топлива, регулирования классификации и освидетельствования судов, устранены излишние административные процедуры при регистрации судов под государственным флагом Российской Федерации (исключено согласование </w:t>
      </w:r>
      <w:proofErr w:type="spell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бербоут-чартера</w:t>
      </w:r>
      <w:proofErr w:type="spell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</w:t>
      </w:r>
      <w:proofErr w:type="spell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Ространснадзором</w:t>
      </w:r>
      <w:proofErr w:type="spell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увеличены сроки регистрации в </w:t>
      </w:r>
      <w:proofErr w:type="spell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бербоут-чартере</w:t>
      </w:r>
      <w:proofErr w:type="spell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), определены организационные вопросы навигационно-гидрографического обеспечения безопасности мореплавания</w:t>
      </w:r>
      <w:proofErr w:type="gram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морских портах и на подходах к ним, создана правовая основа для издания положения о </w:t>
      </w:r>
      <w:proofErr w:type="spell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дипломировании</w:t>
      </w:r>
      <w:proofErr w:type="spell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всех моряков (включая рыбаков), отрегулирована схема утверждения минимального состава судна (минимальный состав назначается в соответствии с требованиями, установленными Минтрансом) и др.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Огромное значение для морской отрасли и обеспечения безопасности мореплавания и судоходства имеет принятый 7 ноября 2011 года Федеральный закон № 305-ФЗ «О внесении изменений в отдельные законодательные акты Российской Федерации в связи с реализацией мер государственной поддержки судостроения и судоходства». Этот закон, устанавливает </w:t>
      </w:r>
      <w:proofErr w:type="gram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экономический режим</w:t>
      </w:r>
      <w:proofErr w:type="gram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судовладельцев, зарегистрировавших свои суда в Российском международном реестре судов, соизмеримый с соответствующими режимами наиболее привлекательных флагов. При этом Российский флаг не становится флагом открытой регистрации или так называемым «удобным» флагом, поскольку законом предусмотрено требование о том, что судовладелец должен быть резидентом Российской Федерации. Наибольшие льготы в соответствии с новым законом получат те суда, которые построены на российских верфях и зарегистрированы под российским флагом. Судовладельцы уже среагировали на новый закон и с ноября 2011 года по настоящее время в Российском международном реестре зарегистрировано более 70 судов, большая часть которых вновь построенные или достаточно новые суда.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2012 году приняты еще три федеральных закона, имеющих отношение к торговому мореплаванию: изменения в Кодекс об административных правонарушениях в части ответственности за нарушение правил государственной регистрации судов и нарушение правил лоцманской проводки; изменения в Гражданский процессуальный кодекс в части подсудности исков о невыплате зарплаты и нарушение социальных прав моряков. На подписи у Президента Российской Федерации находится, принятый Государственной Думой и одобренный Советом Федерации Федеральный закон о понятии маломерного судна. В связи с введением понятия "маломерное судно", в Кодекс торгового мореплавания и в Кодекс внутреннего водного транспорта внесены поправки, связанные с государственной регистрацией судов и прав на них, включая маломерные суда, а также с классификацией и освидетельствованием судов. </w:t>
      </w:r>
      <w:proofErr w:type="gram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Законом</w:t>
      </w:r>
      <w:proofErr w:type="gram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исчерпывающим образом устанавливаются как механизмы государственной регистрации судов и прав на них, так и регистрирующие органы. Кроме того, впервые установлена норма, исключающая обязанность регистрировать незначительно малые </w:t>
      </w:r>
      <w:proofErr w:type="spell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плавсредства</w:t>
      </w:r>
      <w:proofErr w:type="spell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спортивные суда, фактически не участвующие в мореплавании и судоходстве.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Государственной Думе сегодня находятся на рассмотрении еще три важных для отрасли законопроекта, подготовленные Минтрансом России.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 Федерального закона о Северном морском пути, предусматривает законодательное закрепление существования Администрации </w:t>
      </w:r>
      <w:proofErr w:type="spell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Севморпути</w:t>
      </w:r>
      <w:proofErr w:type="spell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ее функций, регулирование принципов оказания услуг на </w:t>
      </w:r>
      <w:proofErr w:type="spell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Севморпути</w:t>
      </w:r>
      <w:proofErr w:type="spell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, установление правил плавания судов в этой акватории. Мы уверены, что Государственная Дума и ее Комитет по транспорту смогут в эту сессию завершить работу над законопроектом. В ближайшее время ожидается принятие в первом чтении законопроекта и об определении понятия «рыболовное судно» с целью исключения широкого толкования ныне действующего термина «судно рыбопромыслового флота», которое сегодня распространяется на все суда, так или иначе связанные с рыболовством (танкеры, рефрижераторы, буксиры и т.п.).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Государственной Думой принят в первом чтении законопроект, предусматривающий внесение изменений в Кодекс внутреннего водного транспорта и ряд других законов. В этом законопроекте мы </w:t>
      </w:r>
      <w:proofErr w:type="gram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предложили установить на внутренних водных путях систему государственного портового контроля создав</w:t>
      </w:r>
      <w:proofErr w:type="gram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орган, ответственный за безопасность на реке - Администрацию речного бассейна. Кроме того предлагается обязать судовладельцев разработать и применять систему управления безопасностью судоходства, а также ввести страхование гражданской ответственности за ущерб от основных рисков от судоходной деятельности (подъем затонувшего имущества, ущерб окружающей среде, ущерб имуществу). К сожалению, мы столкнулись с неконструктивным подходом Комитета по транспорту Государственной Думы к решению поднятых проблем, в результате чего подготовка законопроекта ко второму чтению необоснованно затянута. Текст законопроекта ко второму чтению согласован с Правительством Российской Федерации, Государственным правовым управлением Администрации Президента Российской Федерации, Правовым управлением Госдумы и мы надеемся, что Комитет по транспорту в ближайшее время завершит работу над законопроектом. Минтранс России готов оказать все возможное содействие в работе Комитета по этому вопросу.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принятии поправок в Кодекс внутреннего водного транспорта, предстоит еще большая работа по созданию администраций речных бассейнов, служб капитанов речных бассейнов, внедрения требований СУБ, реорганизации системы обеспечения безопасности судоходства на ВВП и мы к этой работе готовы уже сегодня.</w:t>
      </w:r>
      <w:proofErr w:type="gramEnd"/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2011 году Минтрансом подготовлен и целый ряд ведомственных нормативных актов, регулирующих отношения в области торгового мореплавания. Полагаю, что положительную роль в ускорении оформления судов в портах сыграла новая редакция Типовой схемы организации пункта пропуска в морском порту. Приняты Обязательные постановления по девяти морским портам Российской Федерации, в том числе по морскому порту Санкт-Петербург. Приказами Минтранса утверждены правила ведения судового журнала, машинного журнала и др. Всего за 2011 год было принято 107 нормативных правовых актов различного уровня в области морского и внутреннего водного транспорта.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Второе направление: Поддержание, совершенствование и развитие средств навигационно-гидрографического и гидрометеорологического обеспечения.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модернизации и развития системы навигационного обеспечения на трассах Северного морского пути планомерно осуществляются регламентные работы и обновление существующих плавучих и береговых Средство навигационного оборудования - СНО, оснащение их энергосберегающей аппаратурой, использование </w:t>
      </w: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альтернативных источников питания (солнечные панели, роторные </w:t>
      </w:r>
      <w:proofErr w:type="spell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ветрогенераторы</w:t>
      </w:r>
      <w:proofErr w:type="spell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аккумуляторные батареи нового поколения). </w:t>
      </w:r>
      <w:proofErr w:type="gram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 съемка рельефа дна и создание банка данных электронных навигационных карт на традиционные и высокоширотные трассы Северного морского пути (по итогам 2011 года произведены промеры на 31 тысячу приведенных километров высокоширотных трасс с глубинами до 40 метров и полосой обследования 10 километров, издано 68 электронных морских навигационных карт, а до конца 2012 года будет подготовлено еще около двухсот карт).</w:t>
      </w:r>
      <w:proofErr w:type="gram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Идет развертывание и ввод в эксплуатацию сети береговых контрольно-корректирующих дифференциальных станций (ККС) глобальных навигационных спутниковых систем.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Федеральной целевой программы «Развитие транспортной системы России (2010 – 2015 годы)» производится строительство одиннадцати новых гидрографических и </w:t>
      </w:r>
      <w:proofErr w:type="spell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лоцмейстерских</w:t>
      </w:r>
      <w:proofErr w:type="spell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судов и катеров, в том числе и усиленного ледового класса, а также модернизация действующих гидрографических судов.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исполнение решения Морской коллегии в 2011 году, для реализации предложений Минобороны России о закреплении СНО, расположенных в морских портах и на подходах к ним за Минтрансом России, Федеральным законом от 14 июня 2011 г. № 141-ФЗ навигационно-гидрографическое обеспечение в акваториях морских портов и на подходах к ним осуществляется федеральным агентством морского и речного транспорта.</w:t>
      </w:r>
      <w:proofErr w:type="gramEnd"/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взаимодействии с Управлением навигации и океанографии (</w:t>
      </w:r>
      <w:proofErr w:type="spell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УНиО</w:t>
      </w:r>
      <w:proofErr w:type="spell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Минобороны России и соединениями и частями Гидрографической службы ВМФ проведена инвентаризация и подготовлен перечень СНО, размещенных в границах акваторий, территорий морских портов и на подходах к ним, подлежащих передаче в хозяйственное ведение подведомственного </w:t>
      </w:r>
      <w:proofErr w:type="spell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Росморречфлоту</w:t>
      </w:r>
      <w:proofErr w:type="spell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ФГУП «</w:t>
      </w:r>
      <w:proofErr w:type="spell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Росморпорт</w:t>
      </w:r>
      <w:proofErr w:type="spell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Однако практическая реализация передачи береговых СНО в отдельных морских портах до сих пор не началась.</w:t>
      </w:r>
      <w:proofErr w:type="gram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Полагаем, что Морская коллегия могла бы взять под контроль ход выполнения своего решения впоследствии закрепленного в федеральном законе в части НГО в морских портах и на подходах к ним.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Важнейшим аспектом обеспечения безопасности мореплавания является обеспечение судоводителей отвечающими современным требованиям морскими навигационными картами и пособиями.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Исторически этими вопросами занимается Управление навигации и океанографии Минобороны России. В последнее время в области подготовки и распространения навигационных карт и пособий в Российской Федерации появились определенные проблемы. Прекращен выпуск новых карт, корректура, наносимая на действующие карты, в силу большого объема делает эти карты непригодными для целей навигации и практического использования. Многие российские судовладельцы вынуждены закупать навигационные карты иностранного производства. До сих пор не выпущены Таблицы приливов и Морской астрономический ежегодник на 2012 год.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сложившейся обстановке Минтранс России предпринимает усилия по организации картографической деятельности. </w:t>
      </w:r>
      <w:proofErr w:type="spell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Росморречфлотом</w:t>
      </w:r>
      <w:proofErr w:type="spell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создано ФГУП «Картографические и информационные технологии» с целью ведения ведомственного картографо-геодезического фонда, приказом Минэкономразвития России утверждены Положение о фонде и Перечень материалов и данных, включенных в фонд. В настоящее время организована работа по комплектованию фонда и созданию в подведомственных </w:t>
      </w:r>
      <w:proofErr w:type="spell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Росморречфлоту</w:t>
      </w:r>
      <w:proofErr w:type="spell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организациях региональных представительств </w:t>
      </w:r>
      <w:proofErr w:type="spell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фондодержателя</w:t>
      </w:r>
      <w:proofErr w:type="spell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Фонд </w:t>
      </w: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содержит информацию для морских навигационных карт и навигационных карт внутренних водных путей. К сегодняшнему дню созданы электронные навигационные карты более чем 40 000 км внутренних водных путей России. </w:t>
      </w:r>
      <w:proofErr w:type="gram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Полагаем что в этой работе необходима</w:t>
      </w:r>
      <w:proofErr w:type="gram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практическая помощь и сотрудничество со стороны Минобороны России.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надлежащего выполнения полномочий в сфере навигационно-гидрографического обеспечения мореплавания считаем важным участие Минтранса России совместно с Минобороны России в деятельности Международной гидрографической организации и Международной ассоциации морских средств навигационного оборудования и маячных служб. Встретив в свое время поддержку со стороны Минобороны по этому вопросу, просили бы Морскую коллегию поручить Минобороны согласовать направленный в декабре 2011 года в Минобороны России проект распоряжения Правительства Российской Федерации «О внесении изменений в распоряжение Правительства Российской Федерации от 18 сентября 2001 г. № 1240-р».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Хотелось бы остановиться еще на одной важной проблеме судоходства.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Внутренние водные пути России и судоходные гидротехнические сооружения (СГТС), расположенные на них и являющиеся высоконапорными сооружениями, находятся в федеральной собственности.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острее ощущаются последствия недофинансирования текущего содержания ВВП и СГТС.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Главными рисками для судоходства при сохранении объема финансирования на текущее содержание ВВП и СГТС из федерального бюджета на уровне 2012 г. являются:</w:t>
      </w:r>
    </w:p>
    <w:p w:rsidR="00905275" w:rsidRPr="00905275" w:rsidRDefault="00905275" w:rsidP="0090527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дальнейшее снижение категорий судовых ходов и практическое исключение из транспортного процесса 17,7 тыс. км (до 53,0 тыс. км); </w:t>
      </w:r>
    </w:p>
    <w:p w:rsidR="00905275" w:rsidRPr="00905275" w:rsidRDefault="00905275" w:rsidP="0090527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дальнейшее ухудшение состояния внутренних водных путей;</w:t>
      </w:r>
    </w:p>
    <w:p w:rsidR="00905275" w:rsidRPr="00905275" w:rsidRDefault="00905275" w:rsidP="0090527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снижение уровня безопасности судоходства.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необходимом объеме финансирования по нормативам на текущее содержание внутренних водных путей и судоходных гидротехнических сооружений в размере 16,9837 млрд. руб. в 2012г., только объем дефицита средств на текущее содержание ВВП составляет 5,6265 млрд. руб.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Исходя из чрезвычайной важности ВВП и СГТС для судоходства и жизнедеятельности населения и экономики регионов и страны в целом, необходимо ликвидировать дефицит финансирования ВВП и СГТС.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Третье направление: Организация государственного </w:t>
      </w:r>
      <w:proofErr w:type="gramStart"/>
      <w:r w:rsidRPr="009052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контроля за</w:t>
      </w:r>
      <w:proofErr w:type="gramEnd"/>
      <w:r w:rsidRPr="009052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выполнением классификационных требований к техническому состоянию и годности судов, их всестороннему оснащению и обеспечению, подготовки и сертификации экипажей судов.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международными морскими конвенциями ответственность за соответствие судов требованиям безопасности мореплавания лежит на судовладельце и на государстве флага. В России создана эффективная система </w:t>
      </w:r>
      <w:proofErr w:type="gram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выполнением судами и судовладельцами международных и национальных требований. Освидетельствование и классификация судов осуществляется Российским морским регистром судоходства. В соответствии с Кодексом торгового мореплавания и Общими </w:t>
      </w: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правилами плавания и стоянки судов в морских портах Российской Федерации государственный контроль российских судов в морских портах выполняется капитанами морских портов. Результатом указанной работы явилось устойчивое снижение количества задержаний российских судов в иностранных портах. Россия как государство флага находится в так называемых «белых» списках региональных соглашений о государственном портовом контроле (Парижский и Токийский меморандумы), а в 2011 году Россия получила статус «качественного флага» в программе безопасности мореплавания Береговой охраны США.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Остаются еще определенные сложности с правилами Российского морского регистра судоходства и правилами Российского Речного регистра. И те и другие правила разработаны много лет назад и некоторые положения правил допускают неоднозначное их толкование. Минтрансом России ведется работа по пересмотру указанных правил, будут внесены изменения в Положения о классификации, в соглашение о Признанной организации.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Направление 4: Оперативное доведение необходимой информации до мореплавателей.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Оперативное доведение до мореплавателей навигационной информации становится все более важным фактором обеспечения безопасности. В настоящее время говорить о том, что навигационная информация полностью и оперативно доводится до судоводителей преждевременно. Несмотря на законодательное разграничение полномочий объявлять районы запретными для плавания за Минтрансом России, а временно опасными за Минобороны России все еще остается много нерешенных проблем. Разрабатываемые Минобороны России совместно с заинтересованными органами исполнительной власти временные регламенты взаимодействия для отдельных конкретных случаев необходимости закрыть или открыть районы для плавания проблемы не решают. Считаем необходимым приложить совместные усилия в данном направлении.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Долгие годы остается не решенным на законодательном уровне статус и процедуры подготовки такого важного для мореплавателей периодического издания как «Извещения мореплавателям». Необходима нормативная систематизация подготовки и распространения этого издания и Минтранс России готов совместно с Минобороны России подготовить проекты соответствующих нормативных актов.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Обеспечение поиска и спасания на море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Первое направление: Совершенствование системы поиска и спасания людей на море и Международное сотрудничество по поиску и спасанию людей на море.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Несмотря на то, что аварийность на водном транспорте незначительно уменьшилась, произошедшие в 2011 году две очень серьезные аварии в Куйбышевском водохранилище и в Охотском море вызвали шестикратный рост по сравнению с 2010 годом количества погибших на водном транспорте, что требует проведения решительных организационно-технических мероприятий по совершенствованию существующей системы поиска и спасания людей на море.</w:t>
      </w:r>
      <w:proofErr w:type="gramEnd"/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2011 году начато реформирование системы </w:t>
      </w:r>
      <w:proofErr w:type="spell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Госморспасслужбы</w:t>
      </w:r>
      <w:proofErr w:type="spell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России, создаются новые пунктов базирования аварийно-спасательных формирований в портах Северного морского пути, подготовлен проект федерального закона о привлечении авиационных сил и сре</w:t>
      </w:r>
      <w:proofErr w:type="gram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к пр</w:t>
      </w:r>
      <w:proofErr w:type="gram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оведению поисковых и аварийно-спасательных операций на море. В </w:t>
      </w: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соответствии с международной конвенцией о поиске и спасании на море между Правительством Российской Федерации и правительствами четырнадцати зарубежных стран заключены соглашения о сотрудничестве в морском и авиационном поиске и спасании.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целью выработки единых взглядов и подходов к развитию системы поисково-спасательного обеспечения и в развитие Концепции поисково-спасательного обеспечения морской деятельности Российской Федерации и организации взаимодействия федеральных органов исполнительной власти в вопросах поиска и спасания людей, терпящих бедствие на море, Минтранс России обращается к Морской коллегии с просьбой рассмотреть и утвердить состав созданного совместно с МЧС России, ВМФ России, </w:t>
      </w:r>
      <w:proofErr w:type="spell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Росрыболовством</w:t>
      </w:r>
      <w:proofErr w:type="spell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proofErr w:type="gram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ФСБ России Координационного совета по вопросам организации взаимодействия федеральных органов исполнительной власти в вопросах поиска и спасания людей, терпящих бедствие на море.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Второе направление: Создание и функционирование системы мониторинга и </w:t>
      </w:r>
      <w:proofErr w:type="gramStart"/>
      <w:r w:rsidRPr="009052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контроля за</w:t>
      </w:r>
      <w:proofErr w:type="gramEnd"/>
      <w:r w:rsidRPr="009052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местоположением российских судов и наблюдения за обстановкой в мировом океане.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требованиями правила 19.1 главы V Международной конвенции по охране человеческой жизни на море 1974 года в России создана и успешно функционирует Система опознавания и слежения за судами на дальнем расстоянии, позволяющая с достаточной оперативностью отслеживать местонахождение всех российских судов, находящихся в море.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Защита и сохранение морской среды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Первое направление: Мониторинг состояния морской среды и комплексные меры по предупреждению и ликвидации ее загрязнения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2011 году на море произошло 32 разлива нефти и нефтепродуктов объемами от нескольких килограмм до максимального (670 кг). Все разливы произошли на закрытых акваториях морских портов, принятыми мерами разливы были локализованы и ликвидированы.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2011 году завершена разработка и введены в действие Региональные планы по предупреждению и ликвидации разливов нефти и нефтепродуктов на Дальневосточном и Черноморско-Азовском морских бассейнах Российской Федерации.</w:t>
      </w:r>
      <w:proofErr w:type="gramEnd"/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отработки действия сил и средств, органов управления, организации взаимодействия со спасательными службами других ведомств и иностранных госуда</w:t>
      </w:r>
      <w:proofErr w:type="gram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рств пр</w:t>
      </w:r>
      <w:proofErr w:type="gram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ликвидации чрезвычайных ситуаций, в 2011 году </w:t>
      </w:r>
      <w:proofErr w:type="spell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Росморречфлот</w:t>
      </w:r>
      <w:proofErr w:type="spell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совместно с ФБУ «</w:t>
      </w:r>
      <w:proofErr w:type="spell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Госморспасслужба</w:t>
      </w:r>
      <w:proofErr w:type="spell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России» провел и принял участие в 18 учениях, из них 9 международных.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Наиболее показательным стало комплексное учение сил и средств единой государственной системы предупреждения и ликвидации чрезвычайных ситуаций, проведенное в период с 8 по 11 августа 2011 года </w:t>
      </w:r>
      <w:proofErr w:type="gram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перехода</w:t>
      </w:r>
      <w:proofErr w:type="gram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атомного ледокола «Ямал» по трассе Северного морского пути с участием высоких представителей государств – членов Арктического совета.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Второе направление: Пополнение флота специализированными судами для ликвидации последствий загрязнения морской среды.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повышения уровня технической оснащенности профессиональных аварийно-спасательных формирований, в ходе реализации ФЦП «Развитие транспортной системы России (2010-2015 годы)» запланировано строительство и ввод в эксплуатацию 41 современного судна, предназначенного как для аварийно-спасательного обеспечения, так и для ликвидации загрязнений морской среды, из них к настоящему времени уже построено шестнадцать таких судов и продолжается строительство еще восьми.</w:t>
      </w:r>
      <w:proofErr w:type="gramEnd"/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Третье направление: Выполнение Российской Федерации своих международных обязательств в области предупреждения и ликвидации загрязнения морской среды.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Постановлением Правительства Российской Федерации от 23.07.2009 № 607 «О присоединении Российской Федерации к Международной конвенции по обеспечению готовности на случай загрязнения нефтью, борьбе с ним и сотрудничеству 1990 года» Минтранс России и </w:t>
      </w:r>
      <w:proofErr w:type="spell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Росморречфлот</w:t>
      </w:r>
      <w:proofErr w:type="spell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назначены компетентными национальными органами, ответственными за обеспечение готовности и реагирование на случай загрязнения нефтью моря.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учетом изложенного можно сделать вывод о том, что в целом положения Морской доктрины Российской Федерации на период до 2020 года в сфере обеспечения безопасности морских перевозок выполняются. Имеющиеся проблемы могут быть решены, в том числе через административные механизмы Морской коллегии.</w:t>
      </w:r>
    </w:p>
    <w:p w:rsidR="00905275" w:rsidRPr="00905275" w:rsidRDefault="00905275" w:rsidP="009052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качестве решений сегодняшнего заседания предлагается:</w:t>
      </w:r>
    </w:p>
    <w:p w:rsidR="00905275" w:rsidRPr="00905275" w:rsidRDefault="00905275" w:rsidP="0090527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Поручить Минтрансу России совместно с Минобороны России подготовить предложения по нормативному урегулированию процедуры подготовки, издания и распространения Извещений </w:t>
      </w:r>
      <w:proofErr w:type="spell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мореплавантелям</w:t>
      </w:r>
      <w:proofErr w:type="spell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05275" w:rsidRPr="00905275" w:rsidRDefault="00905275" w:rsidP="0090527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Поручить Минобороны России, Минтрансу России, </w:t>
      </w:r>
      <w:proofErr w:type="spellStart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Росморречфлоту</w:t>
      </w:r>
      <w:proofErr w:type="spellEnd"/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завершить в 212 году реорганизацию навигационно-гидрографического обеспечения торгового мореплавания в морских портах и на подходах к ним.</w:t>
      </w:r>
    </w:p>
    <w:p w:rsidR="00905275" w:rsidRPr="00905275" w:rsidRDefault="00905275" w:rsidP="0090527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Поручить Минтрансу России совместно с Минобороны России внести в Правительство Российской Федерации проект нормативного акта об участии Минтранса России в деятельности Международной гидрографической организации и Международной организации маячных служб.</w:t>
      </w:r>
    </w:p>
    <w:p w:rsidR="00905275" w:rsidRPr="00905275" w:rsidRDefault="00905275" w:rsidP="0090527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Минобороны России совместно с Минтрансом России и другими заинтересованными органами подготовить предложения об организации картографической деятельности в Российской Федерации.</w:t>
      </w:r>
    </w:p>
    <w:p w:rsidR="00905275" w:rsidRPr="00905275" w:rsidRDefault="00905275" w:rsidP="0090527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5275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Утвердить состав Координационного совета по вопросам организации взаимодействия федеральных органов исполнительной власти в вопросах поиска и спасания людей, терпящих бедствие на море.</w:t>
      </w:r>
    </w:p>
    <w:p w:rsidR="00233A9B" w:rsidRDefault="00233A9B"/>
    <w:sectPr w:rsidR="00233A9B" w:rsidSect="00233A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149D0"/>
    <w:multiLevelType w:val="multilevel"/>
    <w:tmpl w:val="750A6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EB7169"/>
    <w:multiLevelType w:val="multilevel"/>
    <w:tmpl w:val="48B6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0444C06"/>
    <w:multiLevelType w:val="multilevel"/>
    <w:tmpl w:val="76761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characterSpacingControl w:val="doNotCompress"/>
  <w:compat/>
  <w:rsids>
    <w:rsidRoot w:val="00905275"/>
    <w:rsid w:val="00233A9B"/>
    <w:rsid w:val="00905275"/>
    <w:rsid w:val="00AA2D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A9B"/>
  </w:style>
  <w:style w:type="paragraph" w:styleId="1">
    <w:name w:val="heading 1"/>
    <w:basedOn w:val="a"/>
    <w:link w:val="10"/>
    <w:uiPriority w:val="9"/>
    <w:qFormat/>
    <w:rsid w:val="0090527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link w:val="40"/>
    <w:uiPriority w:val="9"/>
    <w:qFormat/>
    <w:rsid w:val="0090527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0527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90527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05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05275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9052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052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94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06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06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95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40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02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01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999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85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99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57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97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44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3598</Words>
  <Characters>20514</Characters>
  <Application>Microsoft Office Word</Application>
  <DocSecurity>0</DocSecurity>
  <Lines>170</Lines>
  <Paragraphs>48</Paragraphs>
  <ScaleCrop>false</ScaleCrop>
  <Company>Grizli777</Company>
  <LinksUpToDate>false</LinksUpToDate>
  <CharactersWithSpaces>24064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Zver</dc:creator>
  <cp:keywords/>
  <dc:description/>
  <cp:lastModifiedBy>Zver</cp:lastModifiedBy>
  <cp:revision>1</cp:revision>
  <dcterms:created xsi:type="dcterms:W3CDTF">2012-04-26T09:15:00Z</dcterms:created>
  <dcterms:modified xsi:type="dcterms:W3CDTF">2012-04-26T09:16:00Z</dcterms:modified>
</cp:coreProperties>
</file>